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2"/>
        <w:jc w:val="right"/>
        <w:rPr>
          <w:i/>
          <w:iCs/>
        </w:rPr>
      </w:pPr>
      <w:r>
        <w:rPr>
          <w:i/>
          <w:iCs/>
        </w:rPr>
        <w:t xml:space="preserve">Проект решения Думы города Покачи</w:t>
      </w:r>
      <w:r>
        <w:rPr>
          <w:i/>
          <w:iCs/>
        </w:rPr>
      </w:r>
      <w:r>
        <w:rPr>
          <w:i/>
          <w:iCs/>
        </w:rPr>
      </w:r>
    </w:p>
    <w:p>
      <w:pPr>
        <w:pStyle w:val="752"/>
        <w:jc w:val="right"/>
        <w:rPr>
          <w:iCs/>
        </w:rPr>
      </w:pPr>
      <w:r>
        <w:rPr>
          <w:i/>
          <w:iCs/>
        </w:rPr>
        <w:t xml:space="preserve">вносится главой города Покачи</w:t>
      </w:r>
      <w:r>
        <w:rPr>
          <w:iCs/>
        </w:rPr>
      </w:r>
      <w:r>
        <w:rPr>
          <w:iCs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2460" cy="686086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32459" cy="686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9.80pt;height:54.02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pStyle w:val="752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ДУМА ГОРОДА ПОКАЧИ</w:t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</w:p>
    <w:p>
      <w:pPr>
        <w:pStyle w:val="752"/>
        <w:jc w:val="center"/>
        <w:rPr>
          <w:b/>
        </w:rPr>
      </w:pPr>
      <w:r>
        <w:rPr>
          <w:b/>
        </w:rPr>
        <w:t xml:space="preserve">ХАНТЫ - МАНСИЙСКОГО АВТОНОМНОГО ОКРУГА – ЮГРЫ</w:t>
      </w:r>
      <w:r>
        <w:rPr>
          <w:b/>
        </w:rPr>
      </w:r>
      <w:r>
        <w:rPr>
          <w:b/>
        </w:rPr>
      </w:r>
    </w:p>
    <w:p>
      <w:pPr>
        <w:pStyle w:val="75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75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734"/>
        <w:numPr>
          <w:ilvl w:val="4"/>
          <w:numId w:val="2"/>
        </w:numPr>
        <w:jc w:val="both"/>
        <w:tabs>
          <w:tab w:val="left" w:pos="0" w:leader="none"/>
        </w:tabs>
        <w:rPr>
          <w:i w:val="0"/>
        </w:rPr>
      </w:pPr>
      <w:r>
        <w:rPr>
          <w:i w:val="0"/>
        </w:rPr>
        <w:t xml:space="preserve">от _______________</w:t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 xml:space="preserve">                                          №_____</w:t>
      </w:r>
      <w:r>
        <w:rPr>
          <w:i w:val="0"/>
        </w:rPr>
      </w:r>
      <w:r>
        <w:rPr>
          <w:i w:val="0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453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бюджет города Покачи на 2024 год и на плановый период 2025 и 2026 годов, утвержденный решением Думы города Покачи от 13.12.2023 №76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56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spacing w:line="32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Рассмотрев проект решения Думы города Покачи «О внесении изменений в бюджет города Покачи на 2024 год и на плановый период 2025 и 2026 годов, утвержденный решением Думы города Покачи от 13.12</w:t>
      </w:r>
      <w:r>
        <w:rPr>
          <w:sz w:val="26"/>
          <w:szCs w:val="26"/>
        </w:rPr>
        <w:t xml:space="preserve">.2023 №76», в соответствии с пунктом 2 части 1 статьи 19 Устава города Покачи, пунктом 1 части 5 статьи 4 Положения о бюджетном устройстве и бюджетном процессе в городе Покачи, утвержденного решением Думы города Покачи от 01.11.2017 №92, Дума города Покачи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center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РЕШИЛА: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yellow"/>
        </w:rPr>
      </w:pPr>
      <w:r>
        <w:rPr>
          <w:sz w:val="26"/>
          <w:szCs w:val="26"/>
          <w:highlight w:val="white"/>
        </w:rPr>
        <w:t xml:space="preserve">1. Внести в бюджет города Покачи на 2024 год и на плановый период 2025 и 2026 годов, утвержденный решением Думы города Покачи от 13.12.2023 №76 (газета «</w:t>
      </w:r>
      <w:r>
        <w:rPr>
          <w:sz w:val="26"/>
          <w:szCs w:val="26"/>
          <w:highlight w:val="white"/>
        </w:rPr>
        <w:t xml:space="preserve">Покачёвский</w:t>
      </w:r>
      <w:r>
        <w:rPr>
          <w:sz w:val="26"/>
          <w:szCs w:val="26"/>
          <w:highlight w:val="white"/>
        </w:rPr>
        <w:t xml:space="preserve"> вестник» от 15.12.2023 №50, сетевое издание «</w:t>
      </w:r>
      <w:r>
        <w:rPr>
          <w:sz w:val="26"/>
          <w:szCs w:val="26"/>
          <w:highlight w:val="white"/>
        </w:rPr>
        <w:t xml:space="preserve">ПокачиИнформ</w:t>
      </w:r>
      <w:r>
        <w:rPr>
          <w:sz w:val="26"/>
          <w:szCs w:val="26"/>
          <w:highlight w:val="white"/>
        </w:rPr>
        <w:t xml:space="preserve">» </w:t>
      </w:r>
      <w:hyperlink r:id="rId11" w:tooltip="http://vgazetepv.ru" w:history="1">
        <w:r>
          <w:rPr>
            <w:sz w:val="26"/>
            <w:szCs w:val="26"/>
            <w:highlight w:val="white"/>
          </w:rPr>
          <w:t xml:space="preserve">http://vgazetepv.ru</w:t>
        </w:r>
      </w:hyperlink>
      <w:r>
        <w:rPr>
          <w:sz w:val="26"/>
          <w:szCs w:val="26"/>
          <w:highlight w:val="white"/>
        </w:rPr>
        <w:t xml:space="preserve">, 15.12.2023), с изменениями от 21.02.2024 №3 (газета «</w:t>
      </w:r>
      <w:r>
        <w:rPr>
          <w:sz w:val="26"/>
          <w:szCs w:val="26"/>
          <w:highlight w:val="white"/>
        </w:rPr>
        <w:t xml:space="preserve">Покачёвский</w:t>
      </w:r>
      <w:r>
        <w:rPr>
          <w:sz w:val="26"/>
          <w:szCs w:val="26"/>
          <w:highlight w:val="white"/>
        </w:rPr>
        <w:t xml:space="preserve"> вестник» от 22.02.2024 №8, сетевое издание «</w:t>
      </w:r>
      <w:r>
        <w:rPr>
          <w:sz w:val="26"/>
          <w:szCs w:val="26"/>
          <w:highlight w:val="white"/>
        </w:rPr>
        <w:t xml:space="preserve">ПокачиИнформ</w:t>
      </w:r>
      <w:r>
        <w:rPr>
          <w:sz w:val="26"/>
          <w:szCs w:val="26"/>
          <w:highlight w:val="white"/>
        </w:rPr>
        <w:t xml:space="preserve">» </w:t>
      </w:r>
      <w:hyperlink r:id="rId12" w:tooltip="http://vgazetepv.ru" w:history="1">
        <w:r>
          <w:rPr>
            <w:sz w:val="26"/>
            <w:szCs w:val="26"/>
            <w:highlight w:val="white"/>
          </w:rPr>
          <w:t xml:space="preserve">http://vgazetepv.ru</w:t>
        </w:r>
      </w:hyperlink>
      <w:r>
        <w:rPr>
          <w:sz w:val="26"/>
          <w:szCs w:val="26"/>
          <w:highlight w:val="white"/>
        </w:rPr>
        <w:t xml:space="preserve">, 22.02.2024), от 16.05.2024 №43 (сетевое издание «</w:t>
      </w:r>
      <w:r>
        <w:rPr>
          <w:sz w:val="26"/>
          <w:szCs w:val="26"/>
          <w:highlight w:val="white"/>
        </w:rPr>
        <w:t xml:space="preserve">ПокачиИнформ</w:t>
      </w:r>
      <w:r>
        <w:rPr>
          <w:sz w:val="26"/>
          <w:szCs w:val="26"/>
          <w:highlight w:val="white"/>
        </w:rPr>
        <w:t xml:space="preserve">» </w:t>
      </w:r>
      <w:hyperlink r:id="rId13" w:tooltip="http://vgazetepv.ru" w:history="1">
        <w:r>
          <w:rPr>
            <w:sz w:val="26"/>
            <w:szCs w:val="26"/>
            <w:highlight w:val="white"/>
          </w:rPr>
          <w:t xml:space="preserve">http://vgazetepv.ru</w:t>
        </w:r>
      </w:hyperlink>
      <w:r>
        <w:rPr>
          <w:sz w:val="26"/>
          <w:szCs w:val="26"/>
          <w:highlight w:val="white"/>
        </w:rPr>
        <w:t xml:space="preserve">, 17.05.2024), </w:t>
      </w:r>
      <w:r>
        <w:rPr>
          <w:sz w:val="26"/>
          <w:szCs w:val="26"/>
          <w:highlight w:val="white"/>
        </w:rPr>
        <w:t xml:space="preserve">от 27.08.2024 №61 (сетевое издание «</w:t>
      </w:r>
      <w:r>
        <w:rPr>
          <w:sz w:val="26"/>
          <w:szCs w:val="26"/>
          <w:highlight w:val="white"/>
        </w:rPr>
        <w:t xml:space="preserve">ПокачиИнформ</w:t>
      </w:r>
      <w:r>
        <w:rPr>
          <w:sz w:val="26"/>
          <w:szCs w:val="26"/>
          <w:highlight w:val="white"/>
        </w:rPr>
        <w:t xml:space="preserve">» </w:t>
      </w:r>
      <w:hyperlink r:id="rId14" w:tooltip="http://vgazetepv.ru" w:history="1">
        <w:r>
          <w:rPr>
            <w:sz w:val="26"/>
            <w:szCs w:val="26"/>
            <w:highlight w:val="white"/>
          </w:rPr>
          <w:t xml:space="preserve">http://vgazetepv.ru</w:t>
        </w:r>
      </w:hyperlink>
      <w:r>
        <w:rPr>
          <w:sz w:val="26"/>
          <w:szCs w:val="26"/>
          <w:highlight w:val="white"/>
        </w:rPr>
        <w:t xml:space="preserve">, 27.08.2024)</w:t>
      </w:r>
      <w:r>
        <w:rPr>
          <w:sz w:val="26"/>
          <w:szCs w:val="26"/>
          <w:highlight w:val="white"/>
        </w:rPr>
        <w:t xml:space="preserve"> следующие изменения: </w:t>
      </w:r>
      <w:r>
        <w:rPr>
          <w:sz w:val="26"/>
          <w:szCs w:val="26"/>
          <w:highlight w:val="yellow"/>
        </w:rPr>
      </w:r>
      <w:r>
        <w:rPr>
          <w:sz w:val="26"/>
          <w:szCs w:val="26"/>
          <w:highlight w:val="yellow"/>
        </w:rPr>
      </w:r>
    </w:p>
    <w:p>
      <w:pPr>
        <w:pStyle w:val="751"/>
        <w:numPr>
          <w:ilvl w:val="0"/>
          <w:numId w:val="15"/>
        </w:numPr>
        <w:ind w:left="-142" w:firstLine="851"/>
        <w:jc w:val="both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часть 1 статьи 1 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1. Утвердить основные характеристики бюджета города Покачи на 2024 год: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общий объем доходов бюджета города Покачи в сумме 2 миллиарда 287 миллионов 808 тысяч 677 рублей 23   копейки, в том числе без учета утвержденного объема безвозмездных поступлений и поступлений налоговых доходов по дополнительным нормативам отчислений в </w:t>
      </w:r>
      <w:r>
        <w:rPr>
          <w:sz w:val="26"/>
          <w:szCs w:val="26"/>
          <w:highlight w:val="none"/>
        </w:rPr>
        <w:t xml:space="preserve">сумме 478 миллионов 263 тысячи 504 рубля 86 копеек, согласно приложению 1;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общий объем расходов бюджета города Покачи в сумме 2 миллиарда 449 миллионов 325 тысяч 578 рублей 48 копеек;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3) дефицит бюджета города Покачи в сумме 161 миллион 516 тысяч 901 рубль 25 копеек;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4) верхний предел муниципального внутреннего долга города Покачи на 01.01.2025 в сумме 146 миллионов 900 тысяч рублей 00 копеек, в том числе верхний предел долга по муниципальным гарантиям 00 рублей 00 копеек;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5) предельный объем муниципального долга города Покачи в сумме 478 миллионов 263 тысячи 504 рубля 86 копеек.</w:t>
      </w:r>
      <w:r>
        <w:rPr>
          <w:sz w:val="26"/>
          <w:szCs w:val="26"/>
          <w:highlight w:val="none"/>
        </w:rPr>
        <w:t xml:space="preserve">»;</w:t>
      </w:r>
      <w:r>
        <w:rPr>
          <w:sz w:val="26"/>
          <w:szCs w:val="26"/>
          <w:highlight w:val="none"/>
        </w:rPr>
      </w:r>
      <w:r>
        <w:rPr>
          <w:highlight w:val="none"/>
        </w:rPr>
      </w:r>
    </w:p>
    <w:p>
      <w:pPr>
        <w:pStyle w:val="751"/>
        <w:numPr>
          <w:ilvl w:val="0"/>
          <w:numId w:val="15"/>
        </w:numPr>
        <w:ind w:left="-284" w:firstLine="993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пункт 1 части 5 статьи 2 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1) на 2024 год в сумме </w:t>
      </w:r>
      <w:r>
        <w:rPr>
          <w:sz w:val="26"/>
          <w:szCs w:val="26"/>
          <w:highlight w:val="none"/>
        </w:rPr>
        <w:t xml:space="preserve">19 миллионов 286 тысяч 157 рублей 8 копеек</w:t>
      </w:r>
      <w:r>
        <w:rPr>
          <w:sz w:val="26"/>
          <w:szCs w:val="26"/>
          <w:highlight w:val="none"/>
        </w:rPr>
        <w:t xml:space="preserve"> согласно приложению 6;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ind w:left="-284" w:firstLine="993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пункт 1 части 6 статьи 2 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1)</w:t>
        <w:tab/>
        <w:t xml:space="preserve">на 2024 год в сумме 110 миллионов 497 тысяч 821 рубль 79 копеек</w:t>
      </w:r>
      <w:r>
        <w:rPr>
          <w:sz w:val="26"/>
          <w:szCs w:val="26"/>
          <w:highlight w:val="none"/>
        </w:rPr>
        <w:t xml:space="preserve">;»;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ind w:left="-284" w:firstLine="993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пункт 1 </w:t>
      </w:r>
      <w:r>
        <w:rPr>
          <w:sz w:val="26"/>
          <w:szCs w:val="26"/>
          <w:highlight w:val="none"/>
        </w:rPr>
        <w:t xml:space="preserve">части 9 статьи 2</w:t>
      </w:r>
      <w:r>
        <w:rPr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1) </w:t>
      </w:r>
      <w:r>
        <w:rPr>
          <w:sz w:val="26"/>
          <w:szCs w:val="26"/>
          <w:highlight w:val="none"/>
        </w:rPr>
        <w:t xml:space="preserve">на 2024 год в сумме 117 миллионов 379 тысяч 692 рубля 93 копейки согласно приложению 9;</w:t>
      </w:r>
      <w:r>
        <w:rPr>
          <w:sz w:val="26"/>
          <w:szCs w:val="26"/>
          <w:highlight w:val="none"/>
        </w:rPr>
        <w:t xml:space="preserve">»;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ind w:left="-283" w:right="0" w:firstLine="992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пункт 1 части 10 статьи 2</w:t>
      </w:r>
      <w:r>
        <w:rPr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1) на 2024 год: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 а) по подразделу «Другие общегосударственные вопросы» в сумме 50 тысяч рублей 00 копеек социально ориентированным некоммерческим организациям в целях привлечения их к решению актуальных социальных проблем, повышения профессионализма работников и добровольц</w:t>
      </w:r>
      <w:r>
        <w:rPr>
          <w:sz w:val="26"/>
          <w:szCs w:val="26"/>
          <w:highlight w:val="none"/>
        </w:rPr>
        <w:t xml:space="preserve">ев таких организаций, доступности предоставляемых гражданам социальных услуг, укрепления институтов гражданского общества, поддержки и развития взаимодействия гражданского общества и государства;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б) по подразделу «Другие вопросы в области национальной экономики» в рамках реализации регионального проекта «Создание условий для легкого старта и комфортного ведения бизнеса» в сумме 256 тысяч 631 рубль 58 копеек субъектам малого и среднего предпринимател</w:t>
      </w:r>
      <w:r>
        <w:rPr>
          <w:sz w:val="26"/>
          <w:szCs w:val="26"/>
          <w:highlight w:val="none"/>
        </w:rPr>
        <w:t xml:space="preserve">ьства (впервые зарегистрированным и действующим менее одного года), осуществляющим социально значимые (приоритетные) виды деятельности в целях предоставления финансовой поддержки по возмещению части затрат;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в) по подразделу «Другие вопросы в области национальной экономики» в рамках реализации регионального проекта «Акселерация субъектов малого и среднего предпринимательства» в сумме 3 миллиона 136 тысяч 105 рублей 26 копеек субъектам малого и среднего предприн</w:t>
      </w:r>
      <w:r>
        <w:rPr>
          <w:sz w:val="26"/>
          <w:szCs w:val="26"/>
          <w:highlight w:val="none"/>
        </w:rPr>
        <w:t xml:space="preserve">имательства, осуществляющим социально значимые (приоритетные) виды деятельности, в целях предоставления финансовой поддержки по возмещению части затрат;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г) по подразделу «Коммунальное хозяйство» в сумме 2 миллиона 566 тысяч 792 рубля 63 копейки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</w:t>
      </w:r>
      <w:r>
        <w:rPr>
          <w:sz w:val="26"/>
          <w:szCs w:val="26"/>
          <w:highlight w:val="none"/>
        </w:rPr>
        <w:t xml:space="preserve">водоснабжению;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д) по подразделу «Коммунальное хозяйство» в сумме 22 миллиона 739 тысяч 325 рублей 23 копейки организациям жилищно-коммунального комплекса в целях финансового обеспечения, возмещения затрат, связанных с проведением мероприятий по реконструкции, капитальному</w:t>
      </w:r>
      <w:r>
        <w:rPr>
          <w:sz w:val="26"/>
          <w:szCs w:val="26"/>
          <w:highlight w:val="none"/>
        </w:rPr>
        <w:t xml:space="preserve">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досто</w:t>
      </w:r>
      <w:r>
        <w:rPr>
          <w:sz w:val="26"/>
          <w:szCs w:val="26"/>
          <w:highlight w:val="none"/>
        </w:rPr>
        <w:t xml:space="preserve">верности определения сметной стоимости работ;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е) по подразделу «Коммунальное хозяйство» в сумме 11 миллионов 723 тысячи 983 рубля 75 копеек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</w:t>
      </w:r>
      <w:r>
        <w:rPr>
          <w:sz w:val="26"/>
          <w:szCs w:val="26"/>
          <w:highlight w:val="none"/>
        </w:rPr>
        <w:t xml:space="preserve">о водоотведению;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ж) по подразделу «Коммунальное хозяйство» в сумме 53 миллиона рублей 00 копеек организациям, жилищно-коммунального комплекса в целях финансового обеспечения капитальных затрат, связанных с покупкой, строительством, реконструкцией или приобретением иным путе</w:t>
      </w:r>
      <w:r>
        <w:rPr>
          <w:sz w:val="26"/>
          <w:szCs w:val="26"/>
          <w:highlight w:val="none"/>
        </w:rPr>
        <w:t xml:space="preserve">м внеоборотных активов (основных средств и др.), связанных с созданием и (или) реконструкцией (модернизацией) объектов концессионного соглашения;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з) по подразделу «Дополнительное образование детей» в сумме 1 миллион 500 тысяч 433 рубля 20 копеек индивидуальным предпринимателям в целях финансового обеспечения (возмещения) исполнения муниципального социального заказа на оказание муниципальных услуг в с</w:t>
      </w:r>
      <w:r>
        <w:rPr>
          <w:sz w:val="26"/>
          <w:szCs w:val="26"/>
          <w:highlight w:val="none"/>
        </w:rPr>
        <w:t xml:space="preserve">оциальной сфере;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и) по подразделу «Молодежная политика» в сумме 325 тысяч рублей 00 копеек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</w:t>
      </w:r>
      <w:r>
        <w:rPr>
          <w:sz w:val="26"/>
          <w:szCs w:val="26"/>
          <w:highlight w:val="none"/>
        </w:rPr>
        <w:t xml:space="preserve">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к) по подразделу «Другие вопросы в области образования» в сумме 311 тысяч 58 рублей 00 копеек некоммерческим организациям на финансовое обеспечение затрат, связанных с организацией отдыха детей и молодежи;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л) по подразделу «Культура» в сумме 50 тысяч рублей 00 копеек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политики;</w:t>
      </w:r>
      <w:r>
        <w:rPr>
          <w:sz w:val="26"/>
          <w:szCs w:val="26"/>
          <w:highlight w:val="none"/>
        </w:rPr>
        <w:t xml:space="preserve">»;</w:t>
      </w:r>
      <w:r>
        <w:rPr>
          <w:sz w:val="26"/>
          <w:szCs w:val="26"/>
          <w:highlight w:val="none"/>
        </w:rPr>
      </w:r>
      <w:r>
        <w:rPr>
          <w:highlight w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  <w:suppressLineNumbers w:val="0"/>
      </w:pPr>
      <w:r>
        <w:rPr>
          <w:sz w:val="26"/>
          <w:szCs w:val="26"/>
          <w:highlight w:val="none"/>
        </w:rPr>
        <w:t xml:space="preserve">приложение 1 «Доходы бюджета города Покачи на 2024 год» к бюджету города Покачи на 2024 год и на плановый период 2025 и 2026 годов </w:t>
      </w:r>
      <w:r>
        <w:rPr>
          <w:sz w:val="26"/>
          <w:szCs w:val="26"/>
          <w:highlight w:val="none"/>
        </w:rPr>
        <w:t xml:space="preserve">изложить в новой редакции согласно приложению 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ind w:left="0" w:right="0"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</w:t>
      </w:r>
      <w:r>
        <w:rPr>
          <w:sz w:val="26"/>
          <w:szCs w:val="26"/>
          <w:highlight w:val="none"/>
        </w:rPr>
        <w:t xml:space="preserve">ности), группам (группам и подгруппам) видов расходов классификации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2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ind w:left="0" w:right="0"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2.1 «Распределение бюджетных ассигнований по разделам, подраз</w:t>
      </w:r>
      <w:r>
        <w:rPr>
          <w:sz w:val="26"/>
          <w:szCs w:val="26"/>
          <w:highlight w:val="none"/>
        </w:rPr>
        <w:t xml:space="preserve">делам, целевым статьям, группам видов расходов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2.1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3 «Распределение бюджетных ассигнований по целевым статьям (муниципальным программам и непрограммным направлениям деятель</w:t>
      </w:r>
      <w:r>
        <w:rPr>
          <w:sz w:val="26"/>
          <w:szCs w:val="26"/>
          <w:highlight w:val="none"/>
        </w:rPr>
        <w:t xml:space="preserve">ности), группам (группам и подгруппам) видов расходов классификации расходов бюджета города Покачи на 2024 год» к бюджету города Покачи на 2024 год и на плановый период 2025 и 2026 годов изложить в новой редакции согласно прило</w:t>
      </w:r>
      <w:r>
        <w:rPr>
          <w:sz w:val="26"/>
          <w:szCs w:val="26"/>
          <w:highlight w:val="none"/>
        </w:rPr>
        <w:t xml:space="preserve">жению 3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3.1 «Распределение бюджетных ассигнова</w:t>
      </w:r>
      <w:r>
        <w:rPr>
          <w:sz w:val="26"/>
          <w:szCs w:val="26"/>
          <w:highlight w:val="none"/>
        </w:rPr>
        <w:t xml:space="preserve">ний по целевым статьям, группам видов расходов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3.1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4 «Распредел</w:t>
      </w:r>
      <w:r>
        <w:rPr>
          <w:sz w:val="26"/>
          <w:szCs w:val="26"/>
          <w:highlight w:val="none"/>
        </w:rPr>
        <w:t xml:space="preserve">ение бюджетных ассигнований по разделам и подразделам классификации расходов бюджета города Покачи на 2024 год» к бюджету города Покачи на 2024 год и на плановый период 2025 и 2026 годов излож</w:t>
      </w:r>
      <w:r>
        <w:rPr>
          <w:sz w:val="26"/>
          <w:szCs w:val="26"/>
          <w:highlight w:val="none"/>
        </w:rPr>
        <w:t xml:space="preserve">ить в новой редакции согласно приложению 4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4.1 «Распределение бю</w:t>
      </w:r>
      <w:r>
        <w:rPr>
          <w:sz w:val="26"/>
          <w:szCs w:val="26"/>
          <w:highlight w:val="none"/>
        </w:rPr>
        <w:t xml:space="preserve">джетных ассигнований по разделам и подразделам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4.1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5 «Ведомственная структура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5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5.1 «Ведомственная структура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5.1 к наст</w:t>
      </w:r>
      <w:r>
        <w:rPr>
          <w:sz w:val="26"/>
          <w:szCs w:val="26"/>
          <w:highlight w:val="none"/>
        </w:rPr>
        <w:t xml:space="preserve">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6 «Публичные нормативные обязательства на 2024 год» к бюджету города Покачи на 2024 год и плановый период 2025 и 2026 годов изложить в новой редакции согласно приложению 6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7 «Объем межбюджетных трансфертов, получаемых из других бюджетов на 2024 год» к бюджету города Покачи на 2024 год и плановый период 2025 и 2026 годов изложить в новой редакции согласно приложению 7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8 «</w:t>
      </w:r>
      <w:r>
        <w:rPr>
          <w:sz w:val="26"/>
          <w:szCs w:val="26"/>
          <w:highlight w:val="none"/>
        </w:rPr>
        <w:t xml:space="preserve">Объемы финансирования программ на 2024 год» к бюджету города Покачи на 2024 год и плановый период 2025 и 2026 годов изложить в новой редакции согласно приложению 8 к настоящему решению; 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9 «Объем бюджетных ассигнований на осуществлени</w:t>
      </w:r>
      <w:r>
        <w:rPr>
          <w:sz w:val="26"/>
          <w:szCs w:val="26"/>
          <w:highlight w:val="none"/>
        </w:rPr>
        <w:t xml:space="preserve">е бюджетных инвестиций в объекты капитального строительства муниципальной собственности города Покачи на 2024 год» к бюджету города Покачи на 2024 год и плановый период 2025 и 2026 годов изложить в новой редакции согласно приложению 9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10 «</w:t>
      </w:r>
      <w:r>
        <w:rPr>
          <w:sz w:val="26"/>
          <w:szCs w:val="26"/>
          <w:highlight w:val="none"/>
          <w14:ligatures w14:val="none"/>
        </w:rPr>
        <w:t xml:space="preserve">Источники финансирования дефицита бюджета города Покачи на 2024 год»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10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10.1 «</w:t>
      </w:r>
      <w:r>
        <w:rPr>
          <w:sz w:val="26"/>
          <w:szCs w:val="26"/>
          <w:highlight w:val="none"/>
          <w14:ligatures w14:val="none"/>
        </w:rPr>
        <w:t xml:space="preserve">Источники финансирования дефицита бюджета города Покачи на 2025 и 206 годы»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10.1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11 «</w:t>
      </w:r>
      <w:r>
        <w:rPr>
          <w:sz w:val="26"/>
          <w:szCs w:val="26"/>
          <w:highlight w:val="none"/>
          <w14:ligatures w14:val="none"/>
        </w:rPr>
        <w:t xml:space="preserve">Программа муниципальных внутренних заимствований на 2024 год»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приложение 11.1 «</w:t>
      </w:r>
      <w:r>
        <w:rPr>
          <w:sz w:val="26"/>
          <w:szCs w:val="26"/>
          <w:highlight w:val="none"/>
          <w14:ligatures w14:val="none"/>
        </w:rPr>
        <w:t xml:space="preserve">Программа муниципальных внутренних заимствований на 2025 и 2026 годы»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11.1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  <w:t xml:space="preserve">приложение 12 «Структура муниципального долга на 2024 год» </w:t>
      </w:r>
      <w:r>
        <w:rPr>
          <w:sz w:val="26"/>
          <w:szCs w:val="26"/>
          <w:highlight w:val="none"/>
        </w:rPr>
        <w:t xml:space="preserve">к бюджету города Покачи на 2024 год и плановый период 2025 и 2026 годов изложить в новой редакции согласно приложению 12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  <w:t xml:space="preserve">приложение 12.1 «Структура муниципального долга на 2025 и 2026 годы» </w:t>
      </w:r>
      <w:r>
        <w:rPr>
          <w:sz w:val="26"/>
          <w:szCs w:val="26"/>
          <w:highlight w:val="none"/>
        </w:rPr>
        <w:t xml:space="preserve">к бюджету города Покачи на 2024 год и плановый период 2025 и 2026 годов изложить в новой редакции согласно приложению 12.1 к настоящему решению.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2</w:t>
      </w:r>
      <w:r>
        <w:rPr>
          <w:sz w:val="26"/>
          <w:szCs w:val="26"/>
          <w:highlight w:val="white"/>
        </w:rPr>
        <w:t xml:space="preserve">. Настоящее решение вступает в силу после его официального опубликования.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ind w:firstLine="709"/>
        <w:jc w:val="both"/>
        <w:spacing w:line="320" w:lineRule="exact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3. Опубликовать настоящее решение в сетевом издании «</w:t>
      </w:r>
      <w:r>
        <w:rPr>
          <w:sz w:val="26"/>
          <w:szCs w:val="26"/>
          <w:highlight w:val="white"/>
        </w:rPr>
        <w:t xml:space="preserve">ПокачиИнформ</w:t>
      </w:r>
      <w:r>
        <w:rPr>
          <w:sz w:val="26"/>
          <w:szCs w:val="26"/>
          <w:highlight w:val="white"/>
        </w:rPr>
        <w:t xml:space="preserve">» (http://vgazetepv.ru/). 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4. Контроль за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</w:t>
      </w:r>
      <w:r>
        <w:rPr>
          <w:bCs/>
          <w:color w:val="000000"/>
          <w:sz w:val="26"/>
          <w:szCs w:val="26"/>
          <w:highlight w:val="white"/>
        </w:rPr>
        <w:t xml:space="preserve">председатель Руденко А.А.)</w:t>
      </w:r>
      <w:r>
        <w:rPr>
          <w:sz w:val="26"/>
          <w:szCs w:val="26"/>
          <w:highlight w:val="white"/>
        </w:rPr>
        <w:t xml:space="preserve">.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ind w:firstLine="709"/>
        <w:jc w:val="both"/>
        <w:spacing w:line="320" w:lineRule="exact"/>
        <w:tabs>
          <w:tab w:val="left" w:pos="993" w:leader="none"/>
          <w:tab w:val="left" w:pos="680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  <w:spacing w:line="320" w:lineRule="exact"/>
        <w:tabs>
          <w:tab w:val="left" w:pos="993" w:leader="none"/>
          <w:tab w:val="left" w:pos="680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696"/>
        <w:gridCol w:w="4768"/>
      </w:tblGrid>
      <w:tr>
        <w:tblPrEx/>
        <w:trPr>
          <w:trHeight w:val="1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города Покачи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Председатель Думы города Покачи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В.Л. </w:t>
            </w:r>
            <w:r>
              <w:rPr>
                <w:b/>
                <w:sz w:val="26"/>
                <w:szCs w:val="26"/>
              </w:rPr>
              <w:t xml:space="preserve">Таненков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А.С. Руденко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</w:tr>
      <w:tr>
        <w:tblPrEx/>
        <w:trPr>
          <w:trHeight w:val="40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3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3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Принято Думой города Покачи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33"/>
        <w:ind w:firstLine="0"/>
        <w:rPr>
          <w:lang w:eastAsia="en-US"/>
        </w:rPr>
      </w:pPr>
      <w:r>
        <w:rPr>
          <w:lang w:eastAsia="en-US"/>
        </w:rPr>
        <w:t xml:space="preserve">____________________</w:t>
      </w:r>
      <w:r>
        <w:rPr>
          <w:lang w:eastAsia="en-US"/>
        </w:rPr>
      </w:r>
      <w:r>
        <w:rPr>
          <w:lang w:eastAsia="en-US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(число, месяц, год)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footnotePr>
        <w:pos w:val="beneathText"/>
      </w:footnotePr>
      <w:endnotePr/>
      <w:type w:val="nextPage"/>
      <w:pgSz w:w="11905" w:h="16837" w:orient="portrait"/>
      <w:pgMar w:top="284" w:right="567" w:bottom="1134" w:left="1985" w:header="567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MS Mincho">
    <w:panose1 w:val="0202060904020508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5</w:t>
    </w:r>
    <w:r>
      <w:fldChar w:fldCharType="end"/>
    </w:r>
    <w:r/>
  </w:p>
  <w:p>
    <w:pPr>
      <w:pStyle w:val="7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3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3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3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3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284" w:firstLine="4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0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4"/>
  </w:num>
  <w:num w:numId="5">
    <w:abstractNumId w:val="4"/>
  </w:num>
  <w:num w:numId="6">
    <w:abstractNumId w:val="11"/>
  </w:num>
  <w:num w:numId="7">
    <w:abstractNumId w:val="12"/>
  </w:num>
  <w:num w:numId="8">
    <w:abstractNumId w:val="1"/>
  </w:num>
  <w:num w:numId="9">
    <w:abstractNumId w:val="10"/>
  </w:num>
  <w:num w:numId="10">
    <w:abstractNumId w:val="0"/>
  </w:num>
  <w:num w:numId="11">
    <w:abstractNumId w:val="9"/>
  </w:num>
  <w:num w:numId="12">
    <w:abstractNumId w:val="8"/>
  </w:num>
  <w:num w:numId="13">
    <w:abstractNumId w:val="6"/>
  </w:num>
  <w:num w:numId="14">
    <w:abstractNumId w:val="3"/>
  </w:num>
  <w:num w:numId="15">
    <w:abstractNumId w:val="2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739"/>
    <w:link w:val="730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739"/>
    <w:link w:val="731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739"/>
    <w:link w:val="732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739"/>
    <w:link w:val="733"/>
    <w:uiPriority w:val="9"/>
    <w:rPr>
      <w:rFonts w:ascii="Arial" w:hAnsi="Arial" w:eastAsia="Arial" w:cs="Arial"/>
      <w:b/>
      <w:bCs/>
      <w:sz w:val="26"/>
      <w:szCs w:val="26"/>
    </w:rPr>
  </w:style>
  <w:style w:type="character" w:styleId="718">
    <w:name w:val="Heading 5 Char"/>
    <w:basedOn w:val="739"/>
    <w:link w:val="734"/>
    <w:uiPriority w:val="9"/>
    <w:rPr>
      <w:rFonts w:ascii="Arial" w:hAnsi="Arial" w:eastAsia="Arial" w:cs="Arial"/>
      <w:b/>
      <w:bCs/>
      <w:sz w:val="24"/>
      <w:szCs w:val="24"/>
    </w:rPr>
  </w:style>
  <w:style w:type="character" w:styleId="719">
    <w:name w:val="Heading 6 Char"/>
    <w:basedOn w:val="739"/>
    <w:link w:val="735"/>
    <w:uiPriority w:val="9"/>
    <w:rPr>
      <w:rFonts w:ascii="Arial" w:hAnsi="Arial" w:eastAsia="Arial" w:cs="Arial"/>
      <w:b/>
      <w:bCs/>
      <w:sz w:val="22"/>
      <w:szCs w:val="22"/>
    </w:rPr>
  </w:style>
  <w:style w:type="character" w:styleId="720">
    <w:name w:val="Heading 7 Char"/>
    <w:basedOn w:val="739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8 Char"/>
    <w:basedOn w:val="739"/>
    <w:link w:val="737"/>
    <w:uiPriority w:val="9"/>
    <w:rPr>
      <w:rFonts w:ascii="Arial" w:hAnsi="Arial" w:eastAsia="Arial" w:cs="Arial"/>
      <w:i/>
      <w:iCs/>
      <w:sz w:val="22"/>
      <w:szCs w:val="22"/>
    </w:rPr>
  </w:style>
  <w:style w:type="character" w:styleId="722">
    <w:name w:val="Heading 9 Char"/>
    <w:basedOn w:val="739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723">
    <w:name w:val="Title Char"/>
    <w:basedOn w:val="739"/>
    <w:link w:val="753"/>
    <w:uiPriority w:val="10"/>
    <w:rPr>
      <w:sz w:val="48"/>
      <w:szCs w:val="48"/>
    </w:rPr>
  </w:style>
  <w:style w:type="character" w:styleId="724">
    <w:name w:val="Subtitle Char"/>
    <w:basedOn w:val="739"/>
    <w:link w:val="755"/>
    <w:uiPriority w:val="11"/>
    <w:rPr>
      <w:sz w:val="24"/>
      <w:szCs w:val="24"/>
    </w:rPr>
  </w:style>
  <w:style w:type="character" w:styleId="725">
    <w:name w:val="Quote Char"/>
    <w:link w:val="757"/>
    <w:uiPriority w:val="29"/>
    <w:rPr>
      <w:i/>
    </w:rPr>
  </w:style>
  <w:style w:type="character" w:styleId="726">
    <w:name w:val="Intense Quote Char"/>
    <w:link w:val="759"/>
    <w:uiPriority w:val="30"/>
    <w:rPr>
      <w:i/>
    </w:rPr>
  </w:style>
  <w:style w:type="character" w:styleId="727">
    <w:name w:val="Footnote Text Char"/>
    <w:link w:val="894"/>
    <w:uiPriority w:val="99"/>
    <w:rPr>
      <w:sz w:val="18"/>
    </w:rPr>
  </w:style>
  <w:style w:type="character" w:styleId="728">
    <w:name w:val="Endnote Text Char"/>
    <w:link w:val="897"/>
    <w:uiPriority w:val="99"/>
    <w:rPr>
      <w:sz w:val="20"/>
    </w:rPr>
  </w:style>
  <w:style w:type="paragraph" w:styleId="729" w:default="1">
    <w:name w:val="Normal"/>
    <w:qFormat/>
    <w:rPr>
      <w:sz w:val="24"/>
      <w:szCs w:val="24"/>
      <w:lang w:eastAsia="ar-SA"/>
    </w:rPr>
  </w:style>
  <w:style w:type="paragraph" w:styleId="730">
    <w:name w:val="Heading 1"/>
    <w:basedOn w:val="729"/>
    <w:next w:val="729"/>
    <w:link w:val="74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1">
    <w:name w:val="Heading 2"/>
    <w:basedOn w:val="729"/>
    <w:next w:val="729"/>
    <w:link w:val="743"/>
    <w:qFormat/>
    <w:pPr>
      <w:numPr>
        <w:ilvl w:val="1"/>
        <w:numId w:val="1"/>
      </w:numPr>
      <w:jc w:val="both"/>
      <w:keepNext/>
      <w:outlineLvl w:val="1"/>
    </w:pPr>
    <w:rPr>
      <w:b/>
      <w:bCs/>
    </w:rPr>
  </w:style>
  <w:style w:type="paragraph" w:styleId="732">
    <w:name w:val="Heading 3"/>
    <w:basedOn w:val="729"/>
    <w:next w:val="729"/>
    <w:link w:val="744"/>
    <w:qFormat/>
    <w:pPr>
      <w:numPr>
        <w:ilvl w:val="2"/>
        <w:numId w:val="1"/>
      </w:num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33">
    <w:name w:val="Heading 4"/>
    <w:basedOn w:val="729"/>
    <w:next w:val="729"/>
    <w:link w:val="745"/>
    <w:qFormat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34">
    <w:name w:val="Heading 5"/>
    <w:basedOn w:val="729"/>
    <w:next w:val="729"/>
    <w:link w:val="746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35">
    <w:name w:val="Heading 6"/>
    <w:basedOn w:val="729"/>
    <w:next w:val="729"/>
    <w:link w:val="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729"/>
    <w:next w:val="729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729"/>
    <w:next w:val="729"/>
    <w:link w:val="7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729"/>
    <w:next w:val="72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 w:default="1">
    <w:name w:val="Default Paragraph Font"/>
    <w:uiPriority w:val="1"/>
    <w:semiHidden/>
    <w:unhideWhenUsed/>
  </w:style>
  <w:style w:type="table" w:styleId="7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1" w:default="1">
    <w:name w:val="No List"/>
    <w:uiPriority w:val="99"/>
    <w:semiHidden/>
    <w:unhideWhenUsed/>
  </w:style>
  <w:style w:type="character" w:styleId="742" w:customStyle="1">
    <w:name w:val="Заголовок 1 Знак"/>
    <w:basedOn w:val="739"/>
    <w:link w:val="730"/>
    <w:uiPriority w:val="9"/>
    <w:rPr>
      <w:rFonts w:ascii="Arial" w:hAnsi="Arial" w:eastAsia="Arial" w:cs="Arial"/>
      <w:sz w:val="40"/>
      <w:szCs w:val="40"/>
    </w:rPr>
  </w:style>
  <w:style w:type="character" w:styleId="743" w:customStyle="1">
    <w:name w:val="Заголовок 2 Знак"/>
    <w:basedOn w:val="739"/>
    <w:link w:val="731"/>
    <w:uiPriority w:val="9"/>
    <w:rPr>
      <w:rFonts w:ascii="Arial" w:hAnsi="Arial" w:eastAsia="Arial" w:cs="Arial"/>
      <w:sz w:val="34"/>
    </w:rPr>
  </w:style>
  <w:style w:type="character" w:styleId="744" w:customStyle="1">
    <w:name w:val="Заголовок 3 Знак"/>
    <w:basedOn w:val="739"/>
    <w:link w:val="732"/>
    <w:uiPriority w:val="9"/>
    <w:rPr>
      <w:rFonts w:ascii="Arial" w:hAnsi="Arial" w:eastAsia="Arial" w:cs="Arial"/>
      <w:sz w:val="30"/>
      <w:szCs w:val="30"/>
    </w:rPr>
  </w:style>
  <w:style w:type="character" w:styleId="745" w:customStyle="1">
    <w:name w:val="Заголовок 4 Знак"/>
    <w:basedOn w:val="739"/>
    <w:link w:val="733"/>
    <w:uiPriority w:val="9"/>
    <w:rPr>
      <w:rFonts w:ascii="Arial" w:hAnsi="Arial" w:eastAsia="Arial" w:cs="Arial"/>
      <w:b/>
      <w:bCs/>
      <w:sz w:val="26"/>
      <w:szCs w:val="26"/>
    </w:rPr>
  </w:style>
  <w:style w:type="character" w:styleId="746" w:customStyle="1">
    <w:name w:val="Заголовок 5 Знак"/>
    <w:basedOn w:val="739"/>
    <w:link w:val="734"/>
    <w:uiPriority w:val="9"/>
    <w:rPr>
      <w:rFonts w:ascii="Arial" w:hAnsi="Arial" w:eastAsia="Arial" w:cs="Arial"/>
      <w:b/>
      <w:bCs/>
      <w:sz w:val="24"/>
      <w:szCs w:val="24"/>
    </w:rPr>
  </w:style>
  <w:style w:type="character" w:styleId="747" w:customStyle="1">
    <w:name w:val="Заголовок 6 Знак"/>
    <w:basedOn w:val="739"/>
    <w:link w:val="735"/>
    <w:uiPriority w:val="9"/>
    <w:rPr>
      <w:rFonts w:ascii="Arial" w:hAnsi="Arial" w:eastAsia="Arial" w:cs="Arial"/>
      <w:b/>
      <w:bCs/>
      <w:sz w:val="22"/>
      <w:szCs w:val="22"/>
    </w:rPr>
  </w:style>
  <w:style w:type="character" w:styleId="748" w:customStyle="1">
    <w:name w:val="Заголовок 7 Знак"/>
    <w:basedOn w:val="739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9" w:customStyle="1">
    <w:name w:val="Заголовок 8 Знак"/>
    <w:basedOn w:val="739"/>
    <w:link w:val="737"/>
    <w:uiPriority w:val="9"/>
    <w:rPr>
      <w:rFonts w:ascii="Arial" w:hAnsi="Arial" w:eastAsia="Arial" w:cs="Arial"/>
      <w:i/>
      <w:iCs/>
      <w:sz w:val="22"/>
      <w:szCs w:val="22"/>
    </w:rPr>
  </w:style>
  <w:style w:type="character" w:styleId="750" w:customStyle="1">
    <w:name w:val="Заголовок 9 Знак"/>
    <w:basedOn w:val="739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List Paragraph"/>
    <w:basedOn w:val="729"/>
    <w:uiPriority w:val="34"/>
    <w:qFormat/>
    <w:pPr>
      <w:contextualSpacing/>
      <w:ind w:left="720"/>
    </w:pPr>
  </w:style>
  <w:style w:type="paragraph" w:styleId="752">
    <w:name w:val="No Spacing"/>
    <w:uiPriority w:val="1"/>
    <w:qFormat/>
    <w:rPr>
      <w:sz w:val="24"/>
      <w:szCs w:val="24"/>
      <w:lang w:eastAsia="ar-SA"/>
    </w:rPr>
  </w:style>
  <w:style w:type="paragraph" w:styleId="753">
    <w:name w:val="Title"/>
    <w:basedOn w:val="729"/>
    <w:next w:val="920"/>
    <w:link w:val="754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character" w:styleId="754" w:customStyle="1">
    <w:name w:val="Заголовок Знак"/>
    <w:basedOn w:val="739"/>
    <w:link w:val="753"/>
    <w:uiPriority w:val="10"/>
    <w:rPr>
      <w:sz w:val="48"/>
      <w:szCs w:val="48"/>
    </w:rPr>
  </w:style>
  <w:style w:type="paragraph" w:styleId="755">
    <w:name w:val="Subtitle"/>
    <w:basedOn w:val="729"/>
    <w:next w:val="729"/>
    <w:link w:val="756"/>
    <w:uiPriority w:val="11"/>
    <w:qFormat/>
    <w:pPr>
      <w:spacing w:before="200" w:after="200"/>
    </w:pPr>
  </w:style>
  <w:style w:type="character" w:styleId="756" w:customStyle="1">
    <w:name w:val="Подзаголовок Знак"/>
    <w:basedOn w:val="739"/>
    <w:link w:val="755"/>
    <w:uiPriority w:val="11"/>
    <w:rPr>
      <w:sz w:val="24"/>
      <w:szCs w:val="24"/>
    </w:rPr>
  </w:style>
  <w:style w:type="paragraph" w:styleId="757">
    <w:name w:val="Quote"/>
    <w:basedOn w:val="729"/>
    <w:next w:val="729"/>
    <w:link w:val="758"/>
    <w:uiPriority w:val="29"/>
    <w:qFormat/>
    <w:pPr>
      <w:ind w:left="720" w:right="720"/>
    </w:pPr>
    <w:rPr>
      <w:i/>
    </w:rPr>
  </w:style>
  <w:style w:type="character" w:styleId="758" w:customStyle="1">
    <w:name w:val="Цитата 2 Знак"/>
    <w:link w:val="757"/>
    <w:uiPriority w:val="29"/>
    <w:rPr>
      <w:i/>
    </w:rPr>
  </w:style>
  <w:style w:type="paragraph" w:styleId="759">
    <w:name w:val="Intense Quote"/>
    <w:basedOn w:val="729"/>
    <w:next w:val="729"/>
    <w:link w:val="76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 w:customStyle="1">
    <w:name w:val="Выделенная цитата Знак"/>
    <w:link w:val="759"/>
    <w:uiPriority w:val="30"/>
    <w:rPr>
      <w:i/>
    </w:rPr>
  </w:style>
  <w:style w:type="paragraph" w:styleId="761">
    <w:name w:val="Header"/>
    <w:basedOn w:val="729"/>
    <w:link w:val="939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62" w:customStyle="1">
    <w:name w:val="Header Char"/>
    <w:basedOn w:val="739"/>
    <w:uiPriority w:val="99"/>
  </w:style>
  <w:style w:type="paragraph" w:styleId="763">
    <w:name w:val="Footer"/>
    <w:basedOn w:val="729"/>
    <w:link w:val="940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64" w:customStyle="1">
    <w:name w:val="Footer Char"/>
    <w:basedOn w:val="739"/>
    <w:uiPriority w:val="99"/>
  </w:style>
  <w:style w:type="paragraph" w:styleId="765">
    <w:name w:val="Caption"/>
    <w:basedOn w:val="729"/>
    <w:next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 w:customStyle="1">
    <w:name w:val="Caption Char"/>
    <w:uiPriority w:val="99"/>
  </w:style>
  <w:style w:type="table" w:styleId="767">
    <w:name w:val="Table Grid"/>
    <w:basedOn w:val="740"/>
    <w:uiPriority w:val="59"/>
    <w:tblPr/>
  </w:style>
  <w:style w:type="table" w:styleId="76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000ff"/>
      <w:u w:val="single"/>
    </w:rPr>
  </w:style>
  <w:style w:type="paragraph" w:styleId="894">
    <w:name w:val="footnote text"/>
    <w:basedOn w:val="729"/>
    <w:link w:val="895"/>
    <w:uiPriority w:val="99"/>
    <w:semiHidden/>
    <w:unhideWhenUsed/>
    <w:pPr>
      <w:spacing w:after="40"/>
    </w:pPr>
    <w:rPr>
      <w:sz w:val="18"/>
    </w:rPr>
  </w:style>
  <w:style w:type="character" w:styleId="895" w:customStyle="1">
    <w:name w:val="Текст сноски Знак"/>
    <w:link w:val="894"/>
    <w:uiPriority w:val="99"/>
    <w:rPr>
      <w:sz w:val="18"/>
    </w:rPr>
  </w:style>
  <w:style w:type="character" w:styleId="896">
    <w:name w:val="footnote reference"/>
    <w:basedOn w:val="739"/>
    <w:uiPriority w:val="99"/>
    <w:unhideWhenUsed/>
    <w:rPr>
      <w:vertAlign w:val="superscript"/>
    </w:rPr>
  </w:style>
  <w:style w:type="paragraph" w:styleId="897">
    <w:name w:val="endnote text"/>
    <w:basedOn w:val="729"/>
    <w:link w:val="898"/>
    <w:uiPriority w:val="99"/>
    <w:semiHidden/>
    <w:unhideWhenUsed/>
    <w:rPr>
      <w:sz w:val="20"/>
    </w:rPr>
  </w:style>
  <w:style w:type="character" w:styleId="898" w:customStyle="1">
    <w:name w:val="Текст концевой сноски Знак"/>
    <w:link w:val="897"/>
    <w:uiPriority w:val="99"/>
    <w:rPr>
      <w:sz w:val="20"/>
    </w:rPr>
  </w:style>
  <w:style w:type="character" w:styleId="899">
    <w:name w:val="endnote reference"/>
    <w:basedOn w:val="739"/>
    <w:uiPriority w:val="99"/>
    <w:semiHidden/>
    <w:unhideWhenUsed/>
    <w:rPr>
      <w:vertAlign w:val="superscript"/>
    </w:rPr>
  </w:style>
  <w:style w:type="paragraph" w:styleId="900">
    <w:name w:val="toc 1"/>
    <w:basedOn w:val="729"/>
    <w:next w:val="729"/>
    <w:uiPriority w:val="39"/>
    <w:unhideWhenUsed/>
    <w:pPr>
      <w:spacing w:after="57"/>
    </w:pPr>
  </w:style>
  <w:style w:type="paragraph" w:styleId="901">
    <w:name w:val="toc 2"/>
    <w:basedOn w:val="729"/>
    <w:next w:val="729"/>
    <w:uiPriority w:val="39"/>
    <w:unhideWhenUsed/>
    <w:pPr>
      <w:ind w:left="283"/>
      <w:spacing w:after="57"/>
    </w:pPr>
  </w:style>
  <w:style w:type="paragraph" w:styleId="902">
    <w:name w:val="toc 3"/>
    <w:basedOn w:val="729"/>
    <w:next w:val="729"/>
    <w:uiPriority w:val="39"/>
    <w:unhideWhenUsed/>
    <w:pPr>
      <w:ind w:left="567"/>
      <w:spacing w:after="57"/>
    </w:pPr>
  </w:style>
  <w:style w:type="paragraph" w:styleId="903">
    <w:name w:val="toc 4"/>
    <w:basedOn w:val="729"/>
    <w:next w:val="729"/>
    <w:uiPriority w:val="39"/>
    <w:unhideWhenUsed/>
    <w:pPr>
      <w:ind w:left="850"/>
      <w:spacing w:after="57"/>
    </w:pPr>
  </w:style>
  <w:style w:type="paragraph" w:styleId="904">
    <w:name w:val="toc 5"/>
    <w:basedOn w:val="729"/>
    <w:next w:val="729"/>
    <w:uiPriority w:val="39"/>
    <w:unhideWhenUsed/>
    <w:pPr>
      <w:ind w:left="1134"/>
      <w:spacing w:after="57"/>
    </w:pPr>
  </w:style>
  <w:style w:type="paragraph" w:styleId="905">
    <w:name w:val="toc 6"/>
    <w:basedOn w:val="729"/>
    <w:next w:val="729"/>
    <w:uiPriority w:val="39"/>
    <w:unhideWhenUsed/>
    <w:pPr>
      <w:ind w:left="1417"/>
      <w:spacing w:after="57"/>
    </w:pPr>
  </w:style>
  <w:style w:type="paragraph" w:styleId="906">
    <w:name w:val="toc 7"/>
    <w:basedOn w:val="729"/>
    <w:next w:val="729"/>
    <w:uiPriority w:val="39"/>
    <w:unhideWhenUsed/>
    <w:pPr>
      <w:ind w:left="1701"/>
      <w:spacing w:after="57"/>
    </w:pPr>
  </w:style>
  <w:style w:type="paragraph" w:styleId="907">
    <w:name w:val="toc 8"/>
    <w:basedOn w:val="729"/>
    <w:next w:val="729"/>
    <w:uiPriority w:val="39"/>
    <w:unhideWhenUsed/>
    <w:pPr>
      <w:ind w:left="1984"/>
      <w:spacing w:after="57"/>
    </w:pPr>
  </w:style>
  <w:style w:type="paragraph" w:styleId="908">
    <w:name w:val="toc 9"/>
    <w:basedOn w:val="729"/>
    <w:next w:val="729"/>
    <w:uiPriority w:val="39"/>
    <w:unhideWhenUsed/>
    <w:pPr>
      <w:ind w:left="2268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729"/>
    <w:next w:val="729"/>
    <w:uiPriority w:val="99"/>
    <w:unhideWhenUsed/>
  </w:style>
  <w:style w:type="character" w:styleId="911" w:customStyle="1">
    <w:name w:val="Absatz-Standardschriftart"/>
  </w:style>
  <w:style w:type="character" w:styleId="912" w:customStyle="1">
    <w:name w:val="WW-Absatz-Standardschriftart"/>
  </w:style>
  <w:style w:type="character" w:styleId="913" w:customStyle="1">
    <w:name w:val="WW-Absatz-Standardschriftart1"/>
  </w:style>
  <w:style w:type="character" w:styleId="914" w:customStyle="1">
    <w:name w:val="Основной шрифт абзаца4"/>
  </w:style>
  <w:style w:type="character" w:styleId="915" w:customStyle="1">
    <w:name w:val="Основной шрифт абзаца3"/>
  </w:style>
  <w:style w:type="character" w:styleId="916" w:customStyle="1">
    <w:name w:val="Основной шрифт абзаца2"/>
  </w:style>
  <w:style w:type="character" w:styleId="917" w:customStyle="1">
    <w:name w:val="Основной шрифт абзаца1"/>
  </w:style>
  <w:style w:type="character" w:styleId="918">
    <w:name w:val="page number"/>
    <w:basedOn w:val="917"/>
    <w:semiHidden/>
  </w:style>
  <w:style w:type="character" w:styleId="919" w:customStyle="1">
    <w:name w:val="Символ нумерации"/>
  </w:style>
  <w:style w:type="paragraph" w:styleId="920">
    <w:name w:val="Body Text"/>
    <w:basedOn w:val="729"/>
    <w:semiHidden/>
    <w:pPr>
      <w:spacing w:after="120"/>
    </w:pPr>
  </w:style>
  <w:style w:type="paragraph" w:styleId="921">
    <w:name w:val="List"/>
    <w:basedOn w:val="920"/>
    <w:semiHidden/>
    <w:rPr>
      <w:rFonts w:ascii="Arial" w:hAnsi="Arial" w:cs="Tahoma"/>
    </w:rPr>
  </w:style>
  <w:style w:type="paragraph" w:styleId="922" w:customStyle="1">
    <w:name w:val="Название4"/>
    <w:basedOn w:val="72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23" w:customStyle="1">
    <w:name w:val="Указатель4"/>
    <w:basedOn w:val="729"/>
    <w:pPr>
      <w:suppressLineNumbers/>
    </w:pPr>
    <w:rPr>
      <w:rFonts w:ascii="Arial" w:hAnsi="Arial" w:cs="Tahoma"/>
    </w:rPr>
  </w:style>
  <w:style w:type="paragraph" w:styleId="924" w:customStyle="1">
    <w:name w:val="Название3"/>
    <w:basedOn w:val="72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25" w:customStyle="1">
    <w:name w:val="Указатель3"/>
    <w:basedOn w:val="729"/>
    <w:pPr>
      <w:suppressLineNumbers/>
    </w:pPr>
    <w:rPr>
      <w:rFonts w:ascii="Arial" w:hAnsi="Arial" w:cs="Tahoma"/>
    </w:rPr>
  </w:style>
  <w:style w:type="paragraph" w:styleId="926" w:customStyle="1">
    <w:name w:val="Название2"/>
    <w:basedOn w:val="72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27" w:customStyle="1">
    <w:name w:val="Указатель2"/>
    <w:basedOn w:val="729"/>
    <w:pPr>
      <w:suppressLineNumbers/>
    </w:pPr>
    <w:rPr>
      <w:rFonts w:ascii="Arial" w:hAnsi="Arial" w:cs="Tahoma"/>
    </w:rPr>
  </w:style>
  <w:style w:type="paragraph" w:styleId="928" w:customStyle="1">
    <w:name w:val="Название1"/>
    <w:basedOn w:val="72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29" w:customStyle="1">
    <w:name w:val="Указатель1"/>
    <w:basedOn w:val="729"/>
    <w:pPr>
      <w:suppressLineNumbers/>
    </w:pPr>
    <w:rPr>
      <w:rFonts w:ascii="Arial" w:hAnsi="Arial" w:cs="Tahoma"/>
    </w:rPr>
  </w:style>
  <w:style w:type="paragraph" w:styleId="930">
    <w:name w:val="Body Text Indent"/>
    <w:basedOn w:val="729"/>
    <w:link w:val="941"/>
    <w:semiHidden/>
    <w:pPr>
      <w:ind w:firstLine="720"/>
      <w:jc w:val="both"/>
    </w:pPr>
    <w:rPr>
      <w:sz w:val="26"/>
      <w:lang w:val="en-US"/>
    </w:rPr>
  </w:style>
  <w:style w:type="paragraph" w:styleId="931">
    <w:name w:val="Balloon Text"/>
    <w:basedOn w:val="729"/>
    <w:rPr>
      <w:rFonts w:ascii="Tahoma" w:hAnsi="Tahoma" w:cs="Tahoma"/>
      <w:sz w:val="16"/>
      <w:szCs w:val="16"/>
    </w:rPr>
  </w:style>
  <w:style w:type="paragraph" w:styleId="932" w:customStyle="1">
    <w:name w:val="Содержимое врезки"/>
    <w:basedOn w:val="920"/>
  </w:style>
  <w:style w:type="paragraph" w:styleId="933" w:customStyle="1">
    <w:name w:val="ConsPlusNormal"/>
    <w:next w:val="729"/>
    <w:pPr>
      <w:ind w:firstLine="720"/>
      <w:widowControl w:val="off"/>
    </w:pPr>
    <w:rPr>
      <w:rFonts w:ascii="Arial" w:hAnsi="Arial" w:eastAsia="Arial"/>
      <w:lang w:eastAsia="ar-SA"/>
    </w:rPr>
  </w:style>
  <w:style w:type="paragraph" w:styleId="934" w:customStyle="1">
    <w:name w:val="ConsPlusNonformat"/>
    <w:basedOn w:val="729"/>
    <w:next w:val="933"/>
    <w:rPr>
      <w:rFonts w:ascii="Courier New" w:hAnsi="Courier New" w:eastAsia="Courier New" w:cs="Courier New"/>
      <w:sz w:val="20"/>
      <w:szCs w:val="20"/>
      <w:lang w:eastAsia="en-US" w:bidi="en-US"/>
    </w:rPr>
  </w:style>
  <w:style w:type="paragraph" w:styleId="935" w:customStyle="1">
    <w:name w:val="ConsPlusTitle"/>
    <w:basedOn w:val="729"/>
    <w:next w:val="933"/>
    <w:rPr>
      <w:rFonts w:ascii="Arial" w:hAnsi="Arial" w:eastAsia="Arial" w:cs="Arial"/>
      <w:b/>
      <w:bCs/>
      <w:sz w:val="20"/>
      <w:szCs w:val="20"/>
      <w:lang w:eastAsia="en-US" w:bidi="en-US"/>
    </w:rPr>
  </w:style>
  <w:style w:type="paragraph" w:styleId="936" w:customStyle="1">
    <w:name w:val="ConsPlusCell"/>
    <w:basedOn w:val="729"/>
    <w:rPr>
      <w:rFonts w:ascii="Arial" w:hAnsi="Arial" w:eastAsia="Arial" w:cs="Arial"/>
      <w:sz w:val="20"/>
      <w:szCs w:val="20"/>
      <w:lang w:eastAsia="en-US" w:bidi="en-US"/>
    </w:rPr>
  </w:style>
  <w:style w:type="paragraph" w:styleId="937" w:customStyle="1">
    <w:name w:val="ConsPlusDocList"/>
    <w:basedOn w:val="729"/>
    <w:rPr>
      <w:rFonts w:ascii="Courier New" w:hAnsi="Courier New" w:eastAsia="Courier New" w:cs="Courier New"/>
      <w:sz w:val="20"/>
      <w:szCs w:val="20"/>
      <w:lang w:eastAsia="en-US" w:bidi="en-US"/>
    </w:rPr>
  </w:style>
  <w:style w:type="paragraph" w:styleId="938" w:customStyle="1">
    <w:name w:val="Содержимое фрейма"/>
    <w:basedOn w:val="920"/>
  </w:style>
  <w:style w:type="character" w:styleId="939" w:customStyle="1">
    <w:name w:val="Верхний колонтитул Знак"/>
    <w:link w:val="761"/>
    <w:uiPriority w:val="99"/>
    <w:rPr>
      <w:sz w:val="24"/>
      <w:szCs w:val="24"/>
      <w:lang w:eastAsia="ar-SA"/>
    </w:rPr>
  </w:style>
  <w:style w:type="character" w:styleId="940" w:customStyle="1">
    <w:name w:val="Нижний колонтитул Знак"/>
    <w:link w:val="763"/>
    <w:uiPriority w:val="99"/>
    <w:rPr>
      <w:sz w:val="24"/>
      <w:szCs w:val="24"/>
      <w:lang w:eastAsia="ar-SA"/>
    </w:rPr>
  </w:style>
  <w:style w:type="character" w:styleId="941" w:customStyle="1">
    <w:name w:val="Основной текст с отступом Знак"/>
    <w:link w:val="930"/>
    <w:semiHidden/>
    <w:rPr>
      <w:sz w:val="26"/>
      <w:szCs w:val="24"/>
      <w:lang w:eastAsia="ar-SA"/>
    </w:rPr>
  </w:style>
  <w:style w:type="character" w:styleId="942">
    <w:name w:val="annotation reference"/>
    <w:uiPriority w:val="99"/>
    <w:semiHidden/>
    <w:unhideWhenUsed/>
    <w:rPr>
      <w:sz w:val="16"/>
      <w:szCs w:val="16"/>
    </w:rPr>
  </w:style>
  <w:style w:type="paragraph" w:styleId="943">
    <w:name w:val="annotation text"/>
    <w:basedOn w:val="729"/>
    <w:link w:val="944"/>
    <w:uiPriority w:val="99"/>
    <w:semiHidden/>
    <w:unhideWhenUsed/>
    <w:rPr>
      <w:sz w:val="20"/>
      <w:szCs w:val="20"/>
      <w:lang w:val="en-US"/>
    </w:rPr>
  </w:style>
  <w:style w:type="character" w:styleId="944" w:customStyle="1">
    <w:name w:val="Текст примечания Знак"/>
    <w:link w:val="943"/>
    <w:uiPriority w:val="99"/>
    <w:semiHidden/>
    <w:rPr>
      <w:lang w:eastAsia="ar-SA"/>
    </w:rPr>
  </w:style>
  <w:style w:type="paragraph" w:styleId="945">
    <w:name w:val="annotation subject"/>
    <w:basedOn w:val="943"/>
    <w:next w:val="943"/>
    <w:link w:val="946"/>
    <w:uiPriority w:val="99"/>
    <w:semiHidden/>
    <w:unhideWhenUsed/>
    <w:rPr>
      <w:b/>
      <w:bCs/>
    </w:rPr>
  </w:style>
  <w:style w:type="character" w:styleId="946" w:customStyle="1">
    <w:name w:val="Тема примечания Знак"/>
    <w:link w:val="945"/>
    <w:uiPriority w:val="99"/>
    <w:semiHidden/>
    <w:rPr>
      <w:b/>
      <w:bCs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Relationship Id="rId11" Type="http://schemas.openxmlformats.org/officeDocument/2006/relationships/hyperlink" Target="http://vgazetepv.ru" TargetMode="External"/><Relationship Id="rId12" Type="http://schemas.openxmlformats.org/officeDocument/2006/relationships/hyperlink" Target="http://vgazetepv.ru" TargetMode="External"/><Relationship Id="rId13" Type="http://schemas.openxmlformats.org/officeDocument/2006/relationships/hyperlink" Target="http://vgazetepv.ru" TargetMode="External"/><Relationship Id="rId14" Type="http://schemas.openxmlformats.org/officeDocument/2006/relationships/hyperlink" Target="http://vgazetep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182</cp:revision>
  <dcterms:created xsi:type="dcterms:W3CDTF">2022-12-15T11:58:00Z</dcterms:created>
  <dcterms:modified xsi:type="dcterms:W3CDTF">2024-10-18T13:55:58Z</dcterms:modified>
  <cp:version>1048576</cp:version>
</cp:coreProperties>
</file>